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x"/>
        <w:shd w:val="clear" w:color="auto" w:fill="ffffff"/>
        <w:spacing w:before="0"/>
        <w:jc w:val="center"/>
        <w:rPr>
          <w:rFonts w:ascii="Arial" w:cs="Arial" w:hAnsi="Arial" w:eastAsia="Arial"/>
          <w:b w:val="1"/>
          <w:bCs w:val="1"/>
          <w:spacing w:val="3"/>
          <w:sz w:val="45"/>
          <w:szCs w:val="45"/>
        </w:rPr>
      </w:pPr>
      <w:r>
        <w:rPr>
          <w:rFonts w:ascii="Arial" w:hAnsi="Arial"/>
        </w:rPr>
        <w:drawing xmlns:a="http://schemas.openxmlformats.org/drawingml/2006/main">
          <wp:anchor distT="57150" distB="57150" distL="57150" distR="57150" simplePos="0" relativeHeight="251659264" behindDoc="0" locked="0" layoutInCell="1" allowOverlap="1">
            <wp:simplePos x="0" y="0"/>
            <wp:positionH relativeFrom="column">
              <wp:posOffset>78652</wp:posOffset>
            </wp:positionH>
            <wp:positionV relativeFrom="line">
              <wp:posOffset>262</wp:posOffset>
            </wp:positionV>
            <wp:extent cx="717550" cy="965835"/>
            <wp:effectExtent l="0" t="0" r="0" b="0"/>
            <wp:wrapSquare wrapText="bothSides" distL="57150" distR="57150" distT="57150" distB="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717550" cy="965835"/>
                    </a:xfrm>
                    <a:prstGeom prst="rect">
                      <a:avLst/>
                    </a:prstGeom>
                    <a:ln w="12700" cap="flat">
                      <a:noFill/>
                      <a:miter lim="400000"/>
                    </a:ln>
                    <a:effectLst/>
                  </pic:spPr>
                </pic:pic>
              </a:graphicData>
            </a:graphic>
          </wp:anchor>
        </w:drawing>
      </w:r>
      <w:r>
        <w:rPr>
          <w:rFonts w:ascii="Arial" w:hAnsi="Arial"/>
          <w:b w:val="1"/>
          <w:bCs w:val="1"/>
          <w:spacing w:val="3"/>
          <w:sz w:val="45"/>
          <w:szCs w:val="45"/>
          <w:rtl w:val="0"/>
          <w:lang w:val="en-US"/>
        </w:rPr>
        <w:t>NOTICE OF ANNUAL PAROCHIAL CHURCH MEETING</w:t>
      </w:r>
    </w:p>
    <w:p>
      <w:pPr>
        <w:pStyle w:val="txg1"/>
        <w:shd w:val="clear" w:color="auto" w:fill="ffffff"/>
        <w:spacing w:before="0"/>
        <w:rPr>
          <w:rFonts w:ascii="Arial" w:cs="Arial" w:hAnsi="Arial" w:eastAsia="Arial"/>
          <w:b w:val="1"/>
          <w:bCs w:val="1"/>
          <w:spacing w:val="3"/>
          <w:sz w:val="39"/>
          <w:szCs w:val="39"/>
          <w:u w:val="single"/>
        </w:rPr>
      </w:pPr>
    </w:p>
    <w:p>
      <w:pPr>
        <w:pStyle w:val="txg1"/>
        <w:shd w:val="clear" w:color="auto" w:fill="ffffff"/>
        <w:spacing w:before="0"/>
        <w:rPr>
          <w:rFonts w:ascii="Arial" w:cs="Arial" w:hAnsi="Arial" w:eastAsia="Arial"/>
          <w:u w:val="single"/>
        </w:rPr>
      </w:pPr>
    </w:p>
    <w:p>
      <w:pPr>
        <w:pStyle w:val="txg1"/>
        <w:shd w:val="clear" w:color="auto" w:fill="ffffff"/>
        <w:spacing w:before="0"/>
        <w:jc w:val="center"/>
        <w:rPr>
          <w:rFonts w:ascii="Arial" w:cs="Arial" w:hAnsi="Arial" w:eastAsia="Arial"/>
          <w:spacing w:val="3"/>
          <w:sz w:val="31"/>
          <w:szCs w:val="31"/>
          <w:u w:val="single"/>
        </w:rPr>
      </w:pPr>
      <w:r>
        <w:rPr>
          <w:rFonts w:ascii="Arial" w:hAnsi="Arial"/>
          <w:spacing w:val="3"/>
          <w:sz w:val="31"/>
          <w:szCs w:val="31"/>
          <w:u w:val="single"/>
          <w:rtl w:val="0"/>
          <w:lang w:val="en-US"/>
        </w:rPr>
        <w:t>The Cathedral Church of St James and St Edmund, Bury St Edmunds</w:t>
      </w:r>
    </w:p>
    <w:p>
      <w:pPr>
        <w:pStyle w:val="txg1"/>
        <w:shd w:val="clear" w:color="auto" w:fill="ffffff"/>
        <w:spacing w:before="0"/>
        <w:rPr>
          <w:rFonts w:ascii="Arial" w:cs="Arial" w:hAnsi="Arial" w:eastAsia="Arial"/>
          <w:spacing w:val="3"/>
          <w:sz w:val="31"/>
          <w:szCs w:val="31"/>
        </w:rPr>
      </w:pPr>
    </w:p>
    <w:p>
      <w:pPr>
        <w:pStyle w:val="txg1"/>
        <w:shd w:val="clear" w:color="auto" w:fill="ffffff"/>
        <w:spacing w:before="0"/>
        <w:jc w:val="center"/>
        <w:rPr>
          <w:rFonts w:ascii="Arial" w:cs="Arial" w:hAnsi="Arial" w:eastAsia="Arial"/>
          <w:spacing w:val="3"/>
          <w:sz w:val="31"/>
          <w:szCs w:val="31"/>
        </w:rPr>
      </w:pPr>
      <w:r>
        <w:rPr>
          <w:rFonts w:ascii="Arial" w:hAnsi="Arial"/>
          <w:b w:val="1"/>
          <w:bCs w:val="1"/>
          <w:spacing w:val="4"/>
          <w:sz w:val="43"/>
          <w:szCs w:val="43"/>
          <w:rtl w:val="0"/>
          <w:lang w:val="en-US"/>
        </w:rPr>
        <w:t>The Annual Parochial Church Meeting</w:t>
      </w:r>
      <w:r>
        <w:rPr>
          <w:rFonts w:ascii="Arial" w:hAnsi="Arial"/>
          <w:spacing w:val="4"/>
          <w:sz w:val="43"/>
          <w:szCs w:val="43"/>
          <w:rtl w:val="0"/>
          <w:lang w:val="en-US"/>
        </w:rPr>
        <w:t xml:space="preserve"> </w:t>
      </w:r>
    </w:p>
    <w:p>
      <w:pPr>
        <w:pStyle w:val="txg1"/>
        <w:shd w:val="clear" w:color="auto" w:fill="ffffff"/>
        <w:spacing w:before="0"/>
        <w:rPr>
          <w:rFonts w:ascii="Arial" w:cs="Arial" w:hAnsi="Arial" w:eastAsia="Arial"/>
          <w:spacing w:val="3"/>
          <w:sz w:val="31"/>
          <w:szCs w:val="31"/>
        </w:rPr>
      </w:pPr>
    </w:p>
    <w:p>
      <w:pPr>
        <w:pStyle w:val="txg1"/>
        <w:shd w:val="clear" w:color="auto" w:fill="ffffff"/>
        <w:spacing w:before="0"/>
        <w:rPr>
          <w:rFonts w:ascii="Arial" w:cs="Arial" w:hAnsi="Arial" w:eastAsia="Arial"/>
          <w:spacing w:val="3"/>
          <w:sz w:val="31"/>
          <w:szCs w:val="31"/>
        </w:rPr>
      </w:pPr>
      <w:r>
        <w:rPr>
          <w:rFonts w:ascii="Arial" w:hAnsi="Arial"/>
          <w:spacing w:val="3"/>
          <w:sz w:val="31"/>
          <w:szCs w:val="31"/>
          <w:rtl w:val="0"/>
          <w:lang w:val="en-US"/>
        </w:rPr>
        <w:t>will be held in the Edmund Room on Wednesday 4 May 2022 at 6.30pm</w:t>
      </w:r>
    </w:p>
    <w:p>
      <w:pPr>
        <w:pStyle w:val="txg1"/>
        <w:shd w:val="clear" w:color="auto" w:fill="ffffff"/>
        <w:spacing w:before="0"/>
        <w:rPr>
          <w:rFonts w:ascii="Arial" w:cs="Arial" w:hAnsi="Arial" w:eastAsia="Arial"/>
          <w:spacing w:val="3"/>
          <w:sz w:val="31"/>
          <w:szCs w:val="31"/>
        </w:rPr>
      </w:pP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note apologies for absence</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approve Minutes of the APCM held on 28 April 2021</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appoint an Electoral Roll Officer</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re-elect two Churchwardens pursuant to the Churchwardens Measure 2001</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elect five members of Forum and appoint a vice-chair of Forum</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confirm lay and clergy representatives to the Deanery Synod</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appoint representatives to Churches Together</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appoint two representatives to the World Day of Prayer Committee</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note the Cathedral</w:t>
      </w:r>
      <w:r>
        <w:rPr>
          <w:rFonts w:ascii="Arial" w:hAnsi="Arial" w:hint="default"/>
          <w:spacing w:val="0"/>
          <w:sz w:val="22"/>
          <w:szCs w:val="22"/>
          <w:u w:color="000000"/>
          <w:rtl w:val="0"/>
          <w:lang w:val="en-US"/>
          <w14:textOutline w14:w="12700" w14:cap="flat">
            <w14:noFill/>
            <w14:miter w14:lim="400000"/>
          </w14:textOutline>
        </w:rPr>
        <w:t>’</w:t>
      </w:r>
      <w:r>
        <w:rPr>
          <w:rFonts w:ascii="Arial" w:hAnsi="Arial"/>
          <w:spacing w:val="0"/>
          <w:sz w:val="22"/>
          <w:szCs w:val="22"/>
          <w:u w:color="000000"/>
          <w:rtl w:val="0"/>
          <w:lang w:val="en-US"/>
          <w14:textOutline w14:w="12700" w14:cap="flat">
            <w14:noFill/>
            <w14:miter w14:lim="400000"/>
          </w14:textOutline>
        </w:rPr>
        <w:t>s Annual Report</w:t>
      </w:r>
      <w:r>
        <w:rPr>
          <w:rFonts w:ascii="Arial" w:hAnsi="Arial"/>
          <w:spacing w:val="0"/>
          <w:sz w:val="22"/>
          <w:szCs w:val="22"/>
          <w:u w:color="000000"/>
          <w:rtl w:val="0"/>
          <w:lang w:val="en-US"/>
          <w14:textOutline w14:w="12700" w14:cap="flat">
            <w14:noFill/>
            <w14:miter w14:lim="400000"/>
          </w14:textOutline>
        </w:rPr>
        <w:t xml:space="preserve"> </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Finance report 2021</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To receive a report from the Dean</w:t>
      </w:r>
    </w:p>
    <w:p>
      <w:pPr>
        <w:pStyle w:val="Default"/>
        <w:widowControl w:val="0"/>
        <w:numPr>
          <w:ilvl w:val="0"/>
          <w:numId w:val="2"/>
        </w:numPr>
        <w:bidi w:val="0"/>
        <w:spacing w:before="0" w:line="480" w:lineRule="auto"/>
        <w:ind w:right="0"/>
        <w:jc w:val="left"/>
        <w:rPr>
          <w:rFonts w:ascii="Arial" w:hAnsi="Arial"/>
          <w:sz w:val="22"/>
          <w:szCs w:val="22"/>
          <w:rtl w:val="0"/>
          <w:lang w:val="en-US"/>
        </w:rPr>
      </w:pPr>
      <w:r>
        <w:rPr>
          <w:rFonts w:ascii="Arial" w:hAnsi="Arial"/>
          <w:spacing w:val="0"/>
          <w:sz w:val="22"/>
          <w:szCs w:val="22"/>
          <w:u w:color="000000"/>
          <w:rtl w:val="0"/>
          <w:lang w:val="en-US"/>
          <w14:textOutline w14:w="12700" w14:cap="flat">
            <w14:noFill/>
            <w14:miter w14:lim="400000"/>
          </w14:textOutline>
        </w:rPr>
        <w:t>AOB</w:t>
      </w:r>
    </w:p>
    <w:p>
      <w:pPr>
        <w:pStyle w:val="txg1"/>
        <w:shd w:val="clear" w:color="auto" w:fill="ffffff"/>
        <w:spacing w:before="0"/>
        <w:rPr>
          <w:rFonts w:ascii="Arial" w:cs="Arial" w:hAnsi="Arial" w:eastAsia="Arial"/>
          <w:spacing w:val="3"/>
          <w:sz w:val="27"/>
          <w:szCs w:val="27"/>
        </w:rPr>
      </w:pPr>
      <w:r>
        <w:rPr>
          <w:rFonts w:ascii="Arial" w:hAnsi="Arial"/>
          <w:spacing w:val="2"/>
          <w:sz w:val="21"/>
          <w:szCs w:val="21"/>
          <w:rtl w:val="0"/>
          <w:lang w:val="en-US"/>
        </w:rPr>
        <w:t>Signed</w:t>
      </w:r>
      <w:r>
        <w:rPr>
          <w:rFonts w:ascii="Arial" w:cs="Arial" w:hAnsi="Arial" w:eastAsia="Arial"/>
          <w:spacing w:val="3"/>
          <w:sz w:val="27"/>
          <w:szCs w:val="27"/>
        </w:rPr>
        <w:drawing xmlns:a="http://schemas.openxmlformats.org/drawingml/2006/main">
          <wp:anchor distT="152400" distB="152400" distL="152400" distR="152400" simplePos="0" relativeHeight="251660288" behindDoc="0" locked="0" layoutInCell="1" allowOverlap="1">
            <wp:simplePos x="0" y="0"/>
            <wp:positionH relativeFrom="page">
              <wp:posOffset>1334769</wp:posOffset>
            </wp:positionH>
            <wp:positionV relativeFrom="line">
              <wp:posOffset>312327</wp:posOffset>
            </wp:positionV>
            <wp:extent cx="2794000" cy="1270000"/>
            <wp:effectExtent l="0" t="0" r="0" b="0"/>
            <wp:wrapTopAndBottom distT="152400" distB="152400"/>
            <wp:docPr id="1073741826" name="officeArt object" descr="Image Gallery"/>
            <wp:cNvGraphicFramePr/>
            <a:graphic xmlns:a="http://schemas.openxmlformats.org/drawingml/2006/main">
              <a:graphicData uri="http://schemas.openxmlformats.org/drawingml/2006/picture">
                <pic:pic xmlns:pic="http://schemas.openxmlformats.org/drawingml/2006/picture">
                  <pic:nvPicPr>
                    <pic:cNvPr id="1073741826" name="Image Gallery" descr="Image Gallery"/>
                    <pic:cNvPicPr>
                      <a:picLocks noChangeAspect="1"/>
                    </pic:cNvPicPr>
                  </pic:nvPicPr>
                  <pic:blipFill>
                    <a:blip r:embed="rId5">
                      <a:extLst/>
                    </a:blip>
                    <a:srcRect l="0" t="16783" r="0" b="16783"/>
                    <a:stretch>
                      <a:fillRect/>
                    </a:stretch>
                  </pic:blipFill>
                  <pic:spPr>
                    <a:xfrm>
                      <a:off x="0" y="0"/>
                      <a:ext cx="2794000" cy="1270000"/>
                    </a:xfrm>
                    <a:prstGeom prst="rect">
                      <a:avLst/>
                    </a:prstGeom>
                    <a:ln w="12700" cap="flat">
                      <a:noFill/>
                      <a:miter lim="400000"/>
                    </a:ln>
                    <a:effectLst/>
                  </pic:spPr>
                </pic:pic>
              </a:graphicData>
            </a:graphic>
          </wp:anchor>
        </w:drawing>
      </w:r>
    </w:p>
    <w:p>
      <w:pPr>
        <w:pStyle w:val="txg1"/>
        <w:shd w:val="clear" w:color="auto" w:fill="ffffff"/>
        <w:spacing w:before="0"/>
        <w:rPr>
          <w:rFonts w:ascii="Arial" w:cs="Arial" w:hAnsi="Arial" w:eastAsia="Arial"/>
          <w:spacing w:val="3"/>
          <w:sz w:val="27"/>
          <w:szCs w:val="27"/>
        </w:rPr>
      </w:pPr>
      <w:r>
        <w:rPr>
          <w:rFonts w:ascii="Arial" w:hAnsi="Arial"/>
          <w:spacing w:val="3"/>
          <w:sz w:val="27"/>
          <w:szCs w:val="27"/>
          <w:rtl w:val="0"/>
          <w:lang w:val="en-US"/>
        </w:rPr>
        <w:t>__________________________________________________________</w:t>
      </w:r>
    </w:p>
    <w:p>
      <w:pPr>
        <w:pStyle w:val="txg1"/>
        <w:shd w:val="clear" w:color="auto" w:fill="ffffff"/>
        <w:spacing w:before="0"/>
        <w:rPr>
          <w:rFonts w:ascii="Arial" w:cs="Arial" w:hAnsi="Arial" w:eastAsia="Arial"/>
          <w:spacing w:val="3"/>
          <w:sz w:val="27"/>
          <w:szCs w:val="27"/>
        </w:rPr>
      </w:pPr>
      <w:r>
        <w:rPr>
          <w:rFonts w:ascii="Arial" w:hAnsi="Arial"/>
          <w:spacing w:val="2"/>
          <w:sz w:val="21"/>
          <w:szCs w:val="21"/>
          <w:rtl w:val="0"/>
          <w:lang w:val="en-US"/>
        </w:rPr>
        <w:t>Cathedral Sub-Dean</w:t>
      </w:r>
    </w:p>
    <w:p>
      <w:pPr>
        <w:pStyle w:val="txg1"/>
        <w:shd w:val="clear" w:color="auto" w:fill="ffffff"/>
        <w:spacing w:before="0"/>
        <w:rPr>
          <w:rFonts w:ascii="Cambria" w:cs="Cambria" w:hAnsi="Cambria" w:eastAsia="Cambria"/>
          <w:outline w:val="0"/>
          <w:color w:val="000000"/>
          <w:spacing w:val="3"/>
          <w:sz w:val="34"/>
          <w:szCs w:val="34"/>
          <w:u w:color="000000"/>
          <w14:textFill>
            <w14:solidFill>
              <w14:srgbClr w14:val="000000"/>
            </w14:solidFill>
          </w14:textFill>
        </w:rPr>
      </w:pPr>
      <w:r>
        <w:rPr>
          <w:rFonts w:ascii="Cambria" w:hAnsi="Cambria"/>
          <w:outline w:val="0"/>
          <w:color w:val="000000"/>
          <w:spacing w:val="3"/>
          <w:sz w:val="34"/>
          <w:szCs w:val="34"/>
          <w:u w:color="000000"/>
          <w:rtl w:val="0"/>
          <w:lang w:val="en-US"/>
          <w14:textFill>
            <w14:solidFill>
              <w14:srgbClr w14:val="000000"/>
            </w14:solidFill>
          </w14:textFill>
        </w:rPr>
        <w:t>Notes</w:t>
      </w:r>
    </w:p>
    <w:p>
      <w:pPr>
        <w:pStyle w:val="note"/>
        <w:shd w:val="clear" w:color="auto" w:fill="ffffff"/>
        <w:spacing w:before="0" w:after="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1</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Every lay person whose name is entered on the Church Electoral Roll of the parish (and no other person) is entitled to vote at the election of parochial representatives of the laity.</w:t>
      </w:r>
    </w:p>
    <w:p>
      <w:pPr>
        <w:pStyle w:val="note"/>
        <w:shd w:val="clear" w:color="auto" w:fill="ffffff"/>
        <w:spacing w:before="0" w:after="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2</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 xml:space="preserve">A person is qualified to be elected a parochial representative of the laity if </w:t>
      </w:r>
      <w:r>
        <w:rPr>
          <w:rFonts w:ascii="Cambria" w:hAnsi="Cambria" w:hint="default"/>
          <w:outline w:val="0"/>
          <w:color w:val="000000"/>
          <w:spacing w:val="3"/>
          <w:sz w:val="23"/>
          <w:szCs w:val="23"/>
          <w:u w:color="000000"/>
          <w:rtl w:val="0"/>
          <w:lang w:val="en-US"/>
          <w14:textFill>
            <w14:solidFill>
              <w14:srgbClr w14:val="000000"/>
            </w14:solidFill>
          </w14:textFill>
        </w:rPr>
        <w:t>–</w:t>
      </w:r>
    </w:p>
    <w:p>
      <w:pPr>
        <w:pStyle w:val="note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(a)</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his or her name is entered on the Church Electoral Roll of the parish and, unless he or is under 18, has been entered there for at least the preceding six months;</w:t>
      </w:r>
    </w:p>
    <w:p>
      <w:pPr>
        <w:pStyle w:val="note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(b)</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he or she is an actual communicant (which means that he has received Communion according to the use of the Church of England or of a Church in communion with the Church of England at least three times during the twelve months preceding the date of the election);</w:t>
      </w:r>
    </w:p>
    <w:p>
      <w:pPr>
        <w:pStyle w:val="note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(c)</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he or she is at least 16; and</w:t>
      </w:r>
    </w:p>
    <w:p>
      <w:pPr>
        <w:pStyle w:val="note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(d)</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he or she is not disqualified as referred to in paragraph 3 of these Notes.</w:t>
      </w:r>
    </w:p>
    <w:p>
      <w:pPr>
        <w:pStyle w:val="note_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3</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(1)</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note1"/>
        <w:shd w:val="clear" w:color="auto" w:fill="ffffff"/>
        <w:spacing w:before="0"/>
        <w:rPr>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(2)</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note1"/>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Fonts w:ascii="Cambria" w:hAnsi="Cambria"/>
          <w:outline w:val="0"/>
          <w:color w:val="000000"/>
          <w:spacing w:val="3"/>
          <w:sz w:val="23"/>
          <w:szCs w:val="23"/>
          <w:u w:color="000000"/>
          <w:rtl w:val="0"/>
          <w:lang w:val="en-US"/>
          <w14:textFill>
            <w14:solidFill>
              <w14:srgbClr w14:val="000000"/>
            </w14:solidFill>
          </w14:textFill>
        </w:rPr>
        <w:t>(3)</w:t>
      </w:r>
      <w:r>
        <w:rPr>
          <w:rFonts w:ascii="Cambria" w:hAnsi="Cambria" w:hint="default"/>
          <w:outline w:val="0"/>
          <w:color w:val="000000"/>
          <w:spacing w:val="3"/>
          <w:sz w:val="23"/>
          <w:szCs w:val="23"/>
          <w:u w:color="000000"/>
          <w:rtl w:val="0"/>
          <w:lang w:val="en-US"/>
          <w14:textFill>
            <w14:solidFill>
              <w14:srgbClr w14:val="000000"/>
            </w14:solidFill>
          </w14:textFill>
        </w:rPr>
        <w:t>   </w:t>
      </w:r>
      <w:r>
        <w:rPr>
          <w:rFonts w:ascii="Cambria" w:hAnsi="Cambria"/>
          <w:outline w:val="0"/>
          <w:color w:val="000000"/>
          <w:spacing w:val="3"/>
          <w:sz w:val="23"/>
          <w:szCs w:val="23"/>
          <w:u w:color="000000"/>
          <w:rtl w:val="0"/>
          <w:lang w:val="en-US"/>
          <w14:textFill>
            <w14:solidFill>
              <w14:srgbClr w14:val="000000"/>
            </w14:solidFill>
          </w14:textFill>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w:t>
      </w:r>
      <w:r>
        <w:rPr>
          <w:rFonts w:ascii="Cambria" w:hAnsi="Cambria" w:hint="default"/>
          <w:outline w:val="0"/>
          <w:color w:val="000000"/>
          <w:spacing w:val="3"/>
          <w:sz w:val="23"/>
          <w:szCs w:val="23"/>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"https://www.churchofengland.org/more/policy-and-thinking/church-representation-rules/part_7_disqualification_etc_rules_62_to_71.xhtml%2525252525252523r71_2"</w:instrText>
      </w:r>
      <w:r>
        <w:rPr>
          <w:rStyle w:val="Hyperlink.0"/>
        </w:rPr>
        <w:fldChar w:fldCharType="separate" w:fldLock="0"/>
      </w:r>
      <w:r>
        <w:rPr>
          <w:rStyle w:val="Hyperlink.0"/>
          <w:rtl w:val="0"/>
          <w:lang w:val="en-US"/>
        </w:rPr>
        <w:t>Rule 71(2)</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of the Church Representation Rules).</w:t>
      </w:r>
    </w:p>
    <w:p>
      <w:pPr>
        <w:pStyle w:val="note1"/>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None"/>
          <w:rFonts w:ascii="Cambria" w:hAnsi="Cambria"/>
          <w:outline w:val="0"/>
          <w:color w:val="000000"/>
          <w:spacing w:val="3"/>
          <w:sz w:val="23"/>
          <w:szCs w:val="23"/>
          <w:u w:color="000000"/>
          <w:rtl w:val="0"/>
          <w:lang w:val="en-US"/>
          <w14:textFill>
            <w14:solidFill>
              <w14:srgbClr w14:val="000000"/>
            </w14:solidFill>
          </w14:textFill>
        </w:rPr>
        <w:t>(4)</w:t>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A person</w:t>
      </w:r>
      <w:r>
        <w:rPr>
          <w:rStyle w:val="None"/>
          <w:rFonts w:ascii="Cambria" w:hAnsi="Cambria" w:hint="default"/>
          <w:outline w:val="0"/>
          <w:color w:val="000000"/>
          <w:spacing w:val="3"/>
          <w:sz w:val="23"/>
          <w:szCs w:val="23"/>
          <w:u w:color="000000"/>
          <w:rtl w:val="0"/>
          <w:lang w:val="en-US"/>
          <w14:textFill>
            <w14:solidFill>
              <w14:srgbClr w14:val="000000"/>
            </w14:solidFill>
          </w14:textFill>
        </w:rPr>
        <w:t>’</w:t>
      </w:r>
      <w:r>
        <w:rPr>
          <w:rStyle w:val="None"/>
          <w:rFonts w:ascii="Cambria" w:hAnsi="Cambria"/>
          <w:outline w:val="0"/>
          <w:color w:val="000000"/>
          <w:spacing w:val="3"/>
          <w:sz w:val="23"/>
          <w:szCs w:val="23"/>
          <w:u w:color="000000"/>
          <w:rtl w:val="0"/>
          <w:lang w:val="en-US"/>
          <w14:textFill>
            <w14:solidFill>
              <w14:srgbClr w14:val="000000"/>
            </w14:solidFill>
          </w14:textFill>
        </w:rPr>
        <w:t>s disqualification under sub-paragraph (3) may be waived by the bishop of the diocese by giving the person notice in writing.</w:t>
      </w:r>
    </w:p>
    <w:p>
      <w:pPr>
        <w:pStyle w:val="note1"/>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None"/>
          <w:rFonts w:ascii="Cambria" w:hAnsi="Cambria"/>
          <w:outline w:val="0"/>
          <w:color w:val="000000"/>
          <w:spacing w:val="3"/>
          <w:sz w:val="23"/>
          <w:szCs w:val="23"/>
          <w:u w:color="000000"/>
          <w:rtl w:val="0"/>
          <w:lang w:val="en-US"/>
          <w14:textFill>
            <w14:solidFill>
              <w14:srgbClr w14:val="000000"/>
            </w14:solidFill>
          </w14:textFill>
        </w:rPr>
        <w:t>(5)</w:t>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note"/>
        <w:shd w:val="clear" w:color="auto" w:fill="ffffff"/>
        <w:spacing w:before="0" w:after="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None"/>
          <w:rFonts w:ascii="Cambria" w:hAnsi="Cambria"/>
          <w:outline w:val="0"/>
          <w:color w:val="000000"/>
          <w:spacing w:val="3"/>
          <w:sz w:val="23"/>
          <w:szCs w:val="23"/>
          <w:u w:color="000000"/>
          <w:rtl w:val="0"/>
          <w:lang w:val="en-US"/>
          <w14:textFill>
            <w14:solidFill>
              <w14:srgbClr w14:val="000000"/>
            </w14:solidFill>
          </w14:textFill>
        </w:rPr>
        <w:t xml:space="preserve">4 </w:t>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pPr>
        <w:pStyle w:val="h6"/>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p>
    <w:p>
      <w:pPr>
        <w:pStyle w:val="h6"/>
        <w:shd w:val="clear" w:color="auto" w:fill="ffffff"/>
        <w:spacing w:before="0"/>
        <w:rPr>
          <w:rStyle w:val="None"/>
          <w:rFonts w:ascii="Cambria" w:cs="Cambria" w:hAnsi="Cambria" w:eastAsia="Cambria"/>
          <w:outline w:val="0"/>
          <w:color w:val="000000"/>
          <w:spacing w:val="0"/>
          <w:sz w:val="20"/>
          <w:szCs w:val="20"/>
          <w:u w:color="000000"/>
          <w14:textFill>
            <w14:solidFill>
              <w14:srgbClr w14:val="000000"/>
            </w14:solidFill>
          </w14:textFill>
        </w:rPr>
      </w:pPr>
      <w:r>
        <w:rPr>
          <w:rStyle w:val="None"/>
          <w:rFonts w:ascii="Cambria" w:hAnsi="Cambria"/>
          <w:outline w:val="0"/>
          <w:color w:val="000000"/>
          <w:spacing w:val="0"/>
          <w:sz w:val="20"/>
          <w:szCs w:val="20"/>
          <w:u w:color="000000"/>
          <w:rtl w:val="0"/>
          <w:lang w:val="en-US"/>
          <w14:textFill>
            <w14:solidFill>
              <w14:srgbClr w14:val="000000"/>
            </w14:solidFill>
          </w14:textFill>
        </w:rPr>
        <w:t>Notes</w:t>
      </w:r>
    </w:p>
    <w:p>
      <w:pPr>
        <w:pStyle w:val="txg1"/>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Hyperlink.0"/>
        </w:rPr>
        <w:fldChar w:fldCharType="begin" w:fldLock="0"/>
      </w:r>
      <w:r>
        <w:rPr>
          <w:rStyle w:val="Hyperlink.0"/>
        </w:rPr>
        <w:instrText xml:space="preserve"> HYPERLINK "https://www.churchofengland.org/more/policy-and-thinking/church-representation-rules/church-representation-rules-online-part-10%2525252525252523fns7"</w:instrText>
      </w:r>
      <w:r>
        <w:rPr>
          <w:rStyle w:val="Hyperlink.0"/>
        </w:rPr>
        <w:fldChar w:fldCharType="separate" w:fldLock="0"/>
      </w:r>
      <w:r>
        <w:rPr>
          <w:rStyle w:val="Hyperlink.0"/>
          <w:rtl w:val="0"/>
          <w:lang w:val="en-US"/>
        </w:rPr>
        <w:t>1</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To be included in a year in which parochial representatives of the laity are to be elected to the Deanery Synod.</w:t>
      </w:r>
    </w:p>
    <w:p>
      <w:pPr>
        <w:pStyle w:val="tx"/>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Hyperlink.0"/>
        </w:rPr>
        <w:fldChar w:fldCharType="begin" w:fldLock="0"/>
      </w:r>
      <w:r>
        <w:rPr>
          <w:rStyle w:val="Hyperlink.0"/>
        </w:rPr>
        <w:instrText xml:space="preserve"> HYPERLINK "https://www.churchofengland.org/more/policy-and-thinking/church-representation-rules/church-representation-rules-online-part-10%2525252525252523fns8"</w:instrText>
      </w:r>
      <w:r>
        <w:rPr>
          <w:rStyle w:val="Hyperlink.0"/>
        </w:rPr>
        <w:fldChar w:fldCharType="separate" w:fldLock="0"/>
      </w:r>
      <w:r>
        <w:rPr>
          <w:rStyle w:val="Hyperlink.0"/>
          <w:rtl w:val="0"/>
          <w:lang w:val="en-US"/>
        </w:rPr>
        <w:t>2</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To be included in a year when a new Church Electoral Roll is prepared. Delete as applicable.</w:t>
      </w:r>
    </w:p>
    <w:p>
      <w:pPr>
        <w:pStyle w:val="tx"/>
        <w:shd w:val="clear" w:color="auto" w:fill="ffffff"/>
        <w:spacing w:before="0"/>
        <w:rPr>
          <w:rStyle w:val="None"/>
          <w:rFonts w:ascii="Cambria" w:cs="Cambria" w:hAnsi="Cambria" w:eastAsia="Cambria"/>
          <w:outline w:val="0"/>
          <w:color w:val="000000"/>
          <w:spacing w:val="3"/>
          <w:sz w:val="23"/>
          <w:szCs w:val="23"/>
          <w:u w:color="000000"/>
          <w14:textFill>
            <w14:solidFill>
              <w14:srgbClr w14:val="000000"/>
            </w14:solidFill>
          </w14:textFill>
        </w:rPr>
      </w:pPr>
      <w:r>
        <w:rPr>
          <w:rStyle w:val="Hyperlink.0"/>
        </w:rPr>
        <w:fldChar w:fldCharType="begin" w:fldLock="0"/>
      </w:r>
      <w:r>
        <w:rPr>
          <w:rStyle w:val="Hyperlink.0"/>
        </w:rPr>
        <w:instrText xml:space="preserve"> HYPERLINK "https://www.churchofengland.org/more/policy-and-thinking/church-representation-rules/church-representation-rules-online-part-10%2525252525252523fns9"</w:instrText>
      </w:r>
      <w:r>
        <w:rPr>
          <w:rStyle w:val="Hyperlink.0"/>
        </w:rPr>
        <w:fldChar w:fldCharType="separate" w:fldLock="0"/>
      </w:r>
      <w:r>
        <w:rPr>
          <w:rStyle w:val="Hyperlink.0"/>
          <w:rtl w:val="0"/>
          <w:lang w:val="en-US"/>
        </w:rPr>
        <w:t>3</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This paragraph should be deleted if no scheme for postal voting is in operation in the parish.</w:t>
      </w:r>
    </w:p>
    <w:p>
      <w:pPr>
        <w:pStyle w:val="tx"/>
        <w:shd w:val="clear" w:color="auto" w:fill="ffffff"/>
        <w:spacing w:before="0"/>
      </w:pPr>
      <w:r>
        <w:rPr>
          <w:rStyle w:val="Hyperlink.0"/>
        </w:rPr>
        <w:fldChar w:fldCharType="begin" w:fldLock="0"/>
      </w:r>
      <w:r>
        <w:rPr>
          <w:rStyle w:val="Hyperlink.0"/>
        </w:rPr>
        <w:instrText xml:space="preserve"> HYPERLINK "https://www.churchofengland.org/more/policy-and-thinking/church-representation-rules/church-representation-rules-online-part-10%2525252525252523fns10"</w:instrText>
      </w:r>
      <w:r>
        <w:rPr>
          <w:rStyle w:val="Hyperlink.0"/>
        </w:rPr>
        <w:fldChar w:fldCharType="separate" w:fldLock="0"/>
      </w:r>
      <w:r>
        <w:rPr>
          <w:rStyle w:val="Hyperlink.0"/>
          <w:rtl w:val="0"/>
          <w:lang w:val="en-US"/>
        </w:rPr>
        <w:t>4</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Or vice-chair of the parochial church council as the case may be (see</w:t>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"https://www.churchofengland.org/more/policy-and-thinking/church-representation-rules/part_9_parish_governance_model_rules_rules_m1_to_m42.xhtml%2525252525252523rm19"</w:instrText>
      </w:r>
      <w:r>
        <w:rPr>
          <w:rStyle w:val="Hyperlink.0"/>
        </w:rPr>
        <w:fldChar w:fldCharType="separate" w:fldLock="0"/>
      </w:r>
      <w:r>
        <w:rPr>
          <w:rStyle w:val="Hyperlink.0"/>
          <w:rtl w:val="0"/>
          <w:lang w:val="en-US"/>
        </w:rPr>
        <w:t>rule M19(2)</w:t>
      </w:r>
      <w:r>
        <w:rPr/>
        <w:fldChar w:fldCharType="end" w:fldLock="0"/>
      </w:r>
      <w:r>
        <w:rPr>
          <w:rStyle w:val="None"/>
          <w:rFonts w:ascii="Cambria" w:hAnsi="Cambria" w:hint="default"/>
          <w:outline w:val="0"/>
          <w:color w:val="000000"/>
          <w:spacing w:val="3"/>
          <w:sz w:val="23"/>
          <w:szCs w:val="23"/>
          <w:u w:color="000000"/>
          <w:rtl w:val="0"/>
          <w:lang w:val="en-US"/>
          <w14:textFill>
            <w14:solidFill>
              <w14:srgbClr w14:val="000000"/>
            </w14:solidFill>
          </w14:textFill>
        </w:rPr>
        <w:t> </w:t>
      </w:r>
      <w:r>
        <w:rPr>
          <w:rStyle w:val="None"/>
          <w:rFonts w:ascii="Cambria" w:hAnsi="Cambria"/>
          <w:outline w:val="0"/>
          <w:color w:val="000000"/>
          <w:spacing w:val="3"/>
          <w:sz w:val="23"/>
          <w:szCs w:val="23"/>
          <w:u w:color="000000"/>
          <w:rtl w:val="0"/>
          <w:lang w:val="en-US"/>
          <w14:textFill>
            <w14:solidFill>
              <w14:srgbClr w14:val="000000"/>
            </w14:solidFill>
          </w14:textFill>
        </w:rPr>
        <w:t>of the Church Representation Rules).</w:t>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98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984"/>
        </w:tabs>
        <w:ind w:left="124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984"/>
        </w:tabs>
        <w:ind w:left="1960"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984"/>
        </w:tabs>
        <w:ind w:left="2680" w:hanging="5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984"/>
        </w:tabs>
        <w:ind w:left="3400" w:hanging="5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984"/>
        </w:tabs>
        <w:ind w:left="4120" w:hanging="5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984"/>
        </w:tabs>
        <w:ind w:left="4840" w:hanging="5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984"/>
        </w:tabs>
        <w:ind w:left="5560" w:hanging="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984"/>
        </w:tabs>
        <w:ind w:left="62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x">
    <w:name w:val="tx"/>
    <w:next w:val="tx"/>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xg1">
    <w:name w:val="txg1"/>
    <w:next w:val="txg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paragraph" w:styleId="note">
    <w:name w:val="note"/>
    <w:next w:val="not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te1">
    <w:name w:val="note1"/>
    <w:next w:val="not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te_1">
    <w:name w:val="note_1"/>
    <w:next w:val="note_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00"/>
      <w:spacing w:val="3"/>
      <w:sz w:val="23"/>
      <w:szCs w:val="23"/>
      <w:u w:val="single" w:color="000000"/>
      <w14:textFill>
        <w14:solidFill>
          <w14:srgbClr w14:val="000000"/>
        </w14:solidFill>
      </w14:textFill>
    </w:rPr>
  </w:style>
  <w:style w:type="paragraph" w:styleId="h6">
    <w:name w:val="h6"/>
    <w:next w:val="h6"/>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